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3D92" w:rsidRDefault="00E63D92" w:rsidP="00E63D92">
      <w:pPr>
        <w:pStyle w:val="a3"/>
        <w:shd w:val="clear" w:color="auto" w:fill="FFFFFF"/>
        <w:jc w:val="center"/>
        <w:rPr>
          <w:rFonts w:ascii="Verdana" w:hAnsi="Verdana"/>
          <w:color w:val="000000"/>
          <w:sz w:val="17"/>
          <w:szCs w:val="17"/>
        </w:rPr>
      </w:pPr>
      <w:r>
        <w:rPr>
          <w:rStyle w:val="a4"/>
          <w:rFonts w:ascii="Verdana" w:hAnsi="Verdana"/>
          <w:color w:val="000000"/>
          <w:sz w:val="17"/>
          <w:szCs w:val="17"/>
        </w:rPr>
        <w:t>14</w:t>
      </w:r>
      <w:r>
        <w:rPr>
          <w:rStyle w:val="a4"/>
          <w:rFonts w:ascii="Verdana" w:hAnsi="Verdana"/>
          <w:color w:val="000000"/>
          <w:sz w:val="17"/>
          <w:szCs w:val="17"/>
        </w:rPr>
        <w:t>. Противодействие недопустимой конкуренции в экономической среде бизнеса</w:t>
      </w:r>
    </w:p>
    <w:p w:rsidR="00E63D92" w:rsidRDefault="00E63D92" w:rsidP="00E63D92">
      <w:pPr>
        <w:pStyle w:val="a3"/>
        <w:shd w:val="clear" w:color="auto" w:fill="FFFFFF"/>
        <w:rPr>
          <w:rFonts w:ascii="Verdana" w:hAnsi="Verdana"/>
          <w:color w:val="000000"/>
          <w:sz w:val="17"/>
          <w:szCs w:val="17"/>
        </w:rPr>
      </w:pPr>
      <w:r>
        <w:rPr>
          <w:rFonts w:ascii="Verdana" w:hAnsi="Verdana"/>
          <w:color w:val="000000"/>
          <w:sz w:val="17"/>
          <w:szCs w:val="17"/>
        </w:rPr>
        <w:t>   Арсенал современных технологий антимонопольного регулирования деловых отношений включает применение инструментов нормативно-правового и экономического воздействия государства на субъектов бизнеса. Инструментарий экономического воздействия государства на субъектов бизнеса включает дифференциацию налогов, предоставление субъектам бизнеса государственных заказов, осуществление кредитной политики в отношении отдельных субъектов бизнеса, оказание им поддержки в форме выделения безвозмездной помощи.</w:t>
      </w:r>
      <w:r>
        <w:rPr>
          <w:rFonts w:ascii="Verdana" w:hAnsi="Verdana"/>
          <w:color w:val="000000"/>
          <w:sz w:val="17"/>
          <w:szCs w:val="17"/>
        </w:rPr>
        <w:br/>
        <w:t>   Дифференциация налогов применяется в странах с рыночно ориентированной экономикой обычно в целях государственной поддержки малого бизнеса и выражается в форме предоставления мелким предпринимательским фирмам налоговых льгот. Тем самым государственный бюджет оказывается инструментом централизованного перераспределения финансовых ресурсов на макроэкономическом уровне. Предо</w:t>
      </w:r>
      <w:bookmarkStart w:id="0" w:name="_GoBack"/>
      <w:bookmarkEnd w:id="0"/>
      <w:r>
        <w:rPr>
          <w:rFonts w:ascii="Verdana" w:hAnsi="Verdana"/>
          <w:color w:val="000000"/>
          <w:sz w:val="17"/>
          <w:szCs w:val="17"/>
        </w:rPr>
        <w:t>ставляя субъектам мелкого предпринимательства налоговые льготы, государство тем самым поддерживает их конкурентоспособность во взаимных отношениях и в коммуникациях с крупным бизнесом. Поэтому дифференциация налогов рассматривается как инструмент стимулирования конкуренции и противодействия монополизации рынков.</w:t>
      </w:r>
      <w:r>
        <w:rPr>
          <w:rFonts w:ascii="Verdana" w:hAnsi="Verdana"/>
          <w:color w:val="000000"/>
          <w:sz w:val="17"/>
          <w:szCs w:val="17"/>
        </w:rPr>
        <w:br/>
        <w:t>   Государственные заказы применяются органами государственного управления прежде всего для стимулирования предпринимательской деятельности в отдельных отраслях и видах бизнеса, либо на локальных рынках. Предоставляя госзаказы на создание определенных видов продукции или оказание услуг, уполномоченные государственные органы должны руководствоваться двумя соображениями: необходимостью обеспечения потребности в соответствующих видах товаров и услуг, а также необходимостью стимулирования конкурентных коммуникаций на локальном, макро- или мегауровнях экономической среды бизнеса и противодействия возможной монополизации рынков на любом из этих уровней.</w:t>
      </w:r>
      <w:r>
        <w:rPr>
          <w:rFonts w:ascii="Verdana" w:hAnsi="Verdana"/>
          <w:color w:val="000000"/>
          <w:sz w:val="17"/>
          <w:szCs w:val="17"/>
        </w:rPr>
        <w:br/>
        <w:t>   В большинстве стран с рыночно ориентированной экономикой объектом дифференциации выступают, наряду с налогами, размеры, а также способы получения и возврата различными субъектами бизнеса кредитных ресурсов. Речь так же идет прежде всего о льготном кредитовании. В отдельных государствах (Германия, Австрия, Испания) Центральный банк страны осуществляет централизованное финансирование отдельных коммерческих банков для обеспечения им возможности выдавать заранее установленным категориям субъектов бизнеса кредитные ресурсы на условиях низких процентов или вовсе на беспроцентной основе с отсрочкой возврата. Такая кредитная поддержка фирм, а к их числу прежде всего относятся субъекты малого бизнеса, позволяет активизировать конкуренцию прежде всего в тех видах деятельности, где преобладают мелкие предпринимательские фирмы.</w:t>
      </w:r>
      <w:r>
        <w:rPr>
          <w:rFonts w:ascii="Verdana" w:hAnsi="Verdana"/>
          <w:color w:val="000000"/>
          <w:sz w:val="17"/>
          <w:szCs w:val="17"/>
        </w:rPr>
        <w:br/>
        <w:t>   И, наконец, государство имеет возможность оказывать отдельным субъектам предпринимательского бизнеса поддержку в виде оказания им безвозмездной помощи (формами безвозмездной помощи предпринимательским фирмам со стороны органов государственного управления являются субсидии, субвенции, другие формы).</w:t>
      </w:r>
      <w:r>
        <w:rPr>
          <w:rFonts w:ascii="Verdana" w:hAnsi="Verdana"/>
          <w:color w:val="000000"/>
          <w:sz w:val="17"/>
          <w:szCs w:val="17"/>
        </w:rPr>
        <w:br/>
        <w:t>   Рассматриваемый инструмент обычно применяется в тех случаях, когда заранее установлено, что в отдельных отраслях, либо видах бизнеса, а также на локальных рынках, либо на национальном рынке для поддержания стабильного уровня цен и объемов предложения товаров необходимо определенное количество конкурентов, но вместе с тем известно, что наиболее слабые из них не в состоянии обеспечить развитие на самостоятельной основе и поэтому нуждаются в финансовой помощи органов управления. В таких случаях безвозмездная помощь государства является фактором не подрыва конкуренции за счет искусственного усиления одного из конкурентов, а, напротив, стимулирования конкуренции и противодействия монополизации рынков вследствие ухода с него отдельных фирм.</w:t>
      </w:r>
      <w:r>
        <w:rPr>
          <w:rFonts w:ascii="Verdana" w:hAnsi="Verdana"/>
          <w:color w:val="000000"/>
          <w:sz w:val="17"/>
          <w:szCs w:val="17"/>
        </w:rPr>
        <w:br/>
        <w:t>   Нормативно-правовое антимонопольное регулирование деловых отношений обеспечивается прежде всего использованием специальной отрасли национального законодательства, обычно имеющейся в государствах с рыночно ориентированной экономикой, а также международного законодательства, которая получила название антимонопольного законодательства или, что то же самое, законодательства о конкуренции. Нормативноправовое регулирование конкурентных коммуникаций осуществляется также с помощью других документов, использование которых способно стимулировать конкуренцию между субъектами бизнеса и противодействовать монополизации рынков. К ним относятся некоторые положения национальных конституций, нормы гражданского законодательства, судебные прецеденты.</w:t>
      </w:r>
      <w:r>
        <w:rPr>
          <w:rFonts w:ascii="Verdana" w:hAnsi="Verdana"/>
          <w:color w:val="000000"/>
          <w:sz w:val="17"/>
          <w:szCs w:val="17"/>
        </w:rPr>
        <w:br/>
        <w:t>   Значение антимонопольного законодательства для активизации современных конкурентных коммуникаций между предпринимательскими фирмами в экономической среде бизнеса столь велико, что порой его называют «хозяйственной конституцией» государства или международного сообщества.</w:t>
      </w:r>
      <w:r>
        <w:rPr>
          <w:rFonts w:ascii="Verdana" w:hAnsi="Verdana"/>
          <w:color w:val="000000"/>
          <w:sz w:val="17"/>
          <w:szCs w:val="17"/>
        </w:rPr>
        <w:br/>
        <w:t>   Тот факт, что конкуренция оказывается объектом правового регулирования, иногда трактуется таким образом, что она вообще исчезает с рынка. Сторонники критической концепции бизнеса спрашивают: «Можно ли в принципе предписывать конкурентам, как именно им следует бороться друг с другом?» Но на самом деле с рынка, действительно, исчезает лишь свободная конкуренция, и ей на смену приходит эффективная конкуренция.</w:t>
      </w:r>
      <w:r>
        <w:rPr>
          <w:rFonts w:ascii="Verdana" w:hAnsi="Verdana"/>
          <w:color w:val="000000"/>
          <w:sz w:val="17"/>
          <w:szCs w:val="17"/>
        </w:rPr>
        <w:br/>
        <w:t>   Эффективность конкуренции в экономической среде бизнеса обеспечивается тем, что не всякие конкуренты признаются необходимыми бизнес-сообществу, и не всякие технологии соперничества признаются допустимыми. Субъектам предпринимательского бизнеса приходится, под воздействием закона, идти на взаимные компромиссы и уступки ради сохранения рынка и недопущения его монополизации ни с чьей стороны. Зато допустимые технологии соперничества (их совокупность можно определить как «добросовестную конкуренцию»), действительно, оказываются своеобразным двигателем экономического прогресса общества.</w:t>
      </w:r>
      <w:r>
        <w:rPr>
          <w:rFonts w:ascii="Verdana" w:hAnsi="Verdana"/>
          <w:color w:val="000000"/>
          <w:sz w:val="17"/>
          <w:szCs w:val="17"/>
        </w:rPr>
        <w:br/>
        <w:t xml:space="preserve">   Антимонопольное нормативно-правовое регулирование деловых отношений включает </w:t>
      </w:r>
      <w:r>
        <w:rPr>
          <w:rFonts w:ascii="Verdana" w:hAnsi="Verdana"/>
          <w:color w:val="000000"/>
          <w:sz w:val="17"/>
          <w:szCs w:val="17"/>
        </w:rPr>
        <w:lastRenderedPageBreak/>
        <w:t>централизованное воздействие на три основных объекта регулирования, а именно:</w:t>
      </w:r>
      <w:r>
        <w:rPr>
          <w:rFonts w:ascii="Verdana" w:hAnsi="Verdana"/>
          <w:color w:val="000000"/>
          <w:sz w:val="17"/>
          <w:szCs w:val="17"/>
        </w:rPr>
        <w:br/>
        <w:t>   - недобросовестную конкуренцию между субъектами бизнеса;</w:t>
      </w:r>
      <w:r>
        <w:rPr>
          <w:rFonts w:ascii="Verdana" w:hAnsi="Verdana"/>
          <w:color w:val="000000"/>
          <w:sz w:val="17"/>
          <w:szCs w:val="17"/>
        </w:rPr>
        <w:br/>
        <w:t>   - монополистическую практику отдельных субъектов бизнеса;</w:t>
      </w:r>
      <w:r>
        <w:rPr>
          <w:rFonts w:ascii="Verdana" w:hAnsi="Verdana"/>
          <w:color w:val="000000"/>
          <w:sz w:val="17"/>
          <w:szCs w:val="17"/>
        </w:rPr>
        <w:br/>
        <w:t>   - монополизацию экономики отдельными субъектами бизнеса.</w:t>
      </w:r>
      <w:r>
        <w:rPr>
          <w:rFonts w:ascii="Verdana" w:hAnsi="Verdana"/>
          <w:color w:val="000000"/>
          <w:sz w:val="17"/>
          <w:szCs w:val="17"/>
        </w:rPr>
        <w:br/>
        <w:t>   Формами централизованного воздействия являются установление законодательных норм относительно вышеупомянутых объектов регулирования и контроль их соблюдения всеми без исключения субъектами бизнеса.</w:t>
      </w:r>
      <w:r>
        <w:rPr>
          <w:rFonts w:ascii="Verdana" w:hAnsi="Verdana"/>
          <w:color w:val="000000"/>
          <w:sz w:val="17"/>
          <w:szCs w:val="17"/>
        </w:rPr>
        <w:br/>
        <w:t>   В противоположность добросовестной конкуренции недобросовестная конкуренция охватывает технологии соперничества между субъектами бизнеса, которые признаются незаконными и, следовательно, недопустимыми. Цели противодействия недобросовестной конкуренции состоят в следующем:</w:t>
      </w:r>
      <w:r>
        <w:rPr>
          <w:rFonts w:ascii="Verdana" w:hAnsi="Verdana"/>
          <w:color w:val="000000"/>
          <w:sz w:val="17"/>
          <w:szCs w:val="17"/>
        </w:rPr>
        <w:br/>
        <w:t>   1) упорядочить конкуренцию, ввести ее в определенные рамки, исключить формы экономических отношений, оказывающих негативное влияние на экономику в целом;</w:t>
      </w:r>
      <w:r>
        <w:rPr>
          <w:rFonts w:ascii="Verdana" w:hAnsi="Verdana"/>
          <w:color w:val="000000"/>
          <w:sz w:val="17"/>
          <w:szCs w:val="17"/>
        </w:rPr>
        <w:br/>
        <w:t>   2) проявлять заботу о защите мелких и средних предпринимателей и массового потребителя.</w:t>
      </w:r>
      <w:r>
        <w:rPr>
          <w:rFonts w:ascii="Verdana" w:hAnsi="Verdana"/>
          <w:color w:val="000000"/>
          <w:sz w:val="17"/>
          <w:szCs w:val="17"/>
        </w:rPr>
        <w:br/>
        <w:t>   Приведем определение, данное Федеральным законом РФ № 948-I «О конкуренции и ограничении монополистической деятельности на товарных рынках» от 22.03.91 (далее мы будем называть его «Закон о конкуренции»).</w:t>
      </w:r>
      <w:r>
        <w:rPr>
          <w:rFonts w:ascii="Verdana" w:hAnsi="Verdana"/>
          <w:color w:val="000000"/>
          <w:sz w:val="17"/>
          <w:szCs w:val="17"/>
        </w:rPr>
        <w:br/>
        <w:t>   Недобросовестная (незаконная) конкуренция - это любой акт конкуренции на рынке, который противоречит положениям действующего в стране законодательства, порядкам и обычаям делового оборота, добрым нравам, порядочности в бизнесе и которые ведут к ослаблению позиций конкурентов, нанесению им ущерба.</w:t>
      </w:r>
      <w:r>
        <w:rPr>
          <w:rFonts w:ascii="Verdana" w:hAnsi="Verdana"/>
          <w:color w:val="000000"/>
          <w:sz w:val="17"/>
          <w:szCs w:val="17"/>
        </w:rPr>
        <w:br/>
        <w:t>   Право на защиту от недобросовестной конкуренции рассматривается в Парижской конвенции 1883 года, участником которой является и Российская Федерация. Данная Конвенция обязывает всех ее участников обеспечивать эффективную защиту от недобросовестной конкуренции, содержит общее понятие недобросовестной конкуренции и некоторые ее формы, подлежащие запрету. Перечень проявлений недобросовестной конкуренции указан в статье Конвенции 10- bis . Под недобросовестной конкуренцией в Парижской конвенции понимается всякая форма конкурентного поведения, противоречащая честным обычаям в промышленности и торговых делах.</w:t>
      </w:r>
      <w:r>
        <w:rPr>
          <w:rFonts w:ascii="Verdana" w:hAnsi="Verdana"/>
          <w:color w:val="000000"/>
          <w:sz w:val="17"/>
          <w:szCs w:val="17"/>
        </w:rPr>
        <w:br/>
        <w:t>   В частности, подлежат запрету</w:t>
      </w:r>
      <w:r>
        <w:rPr>
          <w:rFonts w:ascii="Verdana" w:hAnsi="Verdana"/>
          <w:color w:val="000000"/>
          <w:sz w:val="17"/>
          <w:szCs w:val="17"/>
        </w:rPr>
        <w:br/>
        <w:t xml:space="preserve">   </w:t>
      </w:r>
      <w:r>
        <w:rPr>
          <w:rFonts w:ascii="Segoe UI Symbol" w:hAnsi="Segoe UI Symbol" w:cs="Segoe UI Symbol"/>
          <w:color w:val="000000"/>
          <w:sz w:val="17"/>
          <w:szCs w:val="17"/>
        </w:rPr>
        <w:t>♦</w:t>
      </w:r>
      <w:r>
        <w:rPr>
          <w:rFonts w:ascii="Verdana" w:hAnsi="Verdana"/>
          <w:color w:val="000000"/>
          <w:sz w:val="17"/>
          <w:szCs w:val="17"/>
        </w:rPr>
        <w:t xml:space="preserve"> </w:t>
      </w:r>
      <w:r>
        <w:rPr>
          <w:rFonts w:ascii="Verdana" w:hAnsi="Verdana" w:cs="Verdana"/>
          <w:color w:val="000000"/>
          <w:sz w:val="17"/>
          <w:szCs w:val="17"/>
        </w:rPr>
        <w:t>все</w:t>
      </w:r>
      <w:r>
        <w:rPr>
          <w:rFonts w:ascii="Verdana" w:hAnsi="Verdana"/>
          <w:color w:val="000000"/>
          <w:sz w:val="17"/>
          <w:szCs w:val="17"/>
        </w:rPr>
        <w:t xml:space="preserve"> </w:t>
      </w:r>
      <w:r>
        <w:rPr>
          <w:rFonts w:ascii="Verdana" w:hAnsi="Verdana" w:cs="Verdana"/>
          <w:color w:val="000000"/>
          <w:sz w:val="17"/>
          <w:szCs w:val="17"/>
        </w:rPr>
        <w:t>действия</w:t>
      </w:r>
      <w:r>
        <w:rPr>
          <w:rFonts w:ascii="Verdana" w:hAnsi="Verdana"/>
          <w:color w:val="000000"/>
          <w:sz w:val="17"/>
          <w:szCs w:val="17"/>
        </w:rPr>
        <w:t xml:space="preserve">, </w:t>
      </w:r>
      <w:r>
        <w:rPr>
          <w:rFonts w:ascii="Verdana" w:hAnsi="Verdana" w:cs="Verdana"/>
          <w:color w:val="000000"/>
          <w:sz w:val="17"/>
          <w:szCs w:val="17"/>
        </w:rPr>
        <w:t>способные</w:t>
      </w:r>
      <w:r>
        <w:rPr>
          <w:rFonts w:ascii="Verdana" w:hAnsi="Verdana"/>
          <w:color w:val="000000"/>
          <w:sz w:val="17"/>
          <w:szCs w:val="17"/>
        </w:rPr>
        <w:t xml:space="preserve"> </w:t>
      </w:r>
      <w:r>
        <w:rPr>
          <w:rFonts w:ascii="Verdana" w:hAnsi="Verdana" w:cs="Verdana"/>
          <w:color w:val="000000"/>
          <w:sz w:val="17"/>
          <w:szCs w:val="17"/>
        </w:rPr>
        <w:t>каким</w:t>
      </w:r>
      <w:r>
        <w:rPr>
          <w:rFonts w:ascii="Verdana" w:hAnsi="Verdana"/>
          <w:color w:val="000000"/>
          <w:sz w:val="17"/>
          <w:szCs w:val="17"/>
        </w:rPr>
        <w:t xml:space="preserve"> </w:t>
      </w:r>
      <w:r>
        <w:rPr>
          <w:rFonts w:ascii="Verdana" w:hAnsi="Verdana" w:cs="Verdana"/>
          <w:color w:val="000000"/>
          <w:sz w:val="17"/>
          <w:szCs w:val="17"/>
        </w:rPr>
        <w:t>бы</w:t>
      </w:r>
      <w:r>
        <w:rPr>
          <w:rFonts w:ascii="Verdana" w:hAnsi="Verdana"/>
          <w:color w:val="000000"/>
          <w:sz w:val="17"/>
          <w:szCs w:val="17"/>
        </w:rPr>
        <w:t xml:space="preserve"> </w:t>
      </w:r>
      <w:r>
        <w:rPr>
          <w:rFonts w:ascii="Verdana" w:hAnsi="Verdana" w:cs="Verdana"/>
          <w:color w:val="000000"/>
          <w:sz w:val="17"/>
          <w:szCs w:val="17"/>
        </w:rPr>
        <w:t>то</w:t>
      </w:r>
      <w:r>
        <w:rPr>
          <w:rFonts w:ascii="Verdana" w:hAnsi="Verdana"/>
          <w:color w:val="000000"/>
          <w:sz w:val="17"/>
          <w:szCs w:val="17"/>
        </w:rPr>
        <w:t xml:space="preserve"> </w:t>
      </w:r>
      <w:r>
        <w:rPr>
          <w:rFonts w:ascii="Verdana" w:hAnsi="Verdana" w:cs="Verdana"/>
          <w:color w:val="000000"/>
          <w:sz w:val="17"/>
          <w:szCs w:val="17"/>
        </w:rPr>
        <w:t>ни</w:t>
      </w:r>
      <w:r>
        <w:rPr>
          <w:rFonts w:ascii="Verdana" w:hAnsi="Verdana"/>
          <w:color w:val="000000"/>
          <w:sz w:val="17"/>
          <w:szCs w:val="17"/>
        </w:rPr>
        <w:t xml:space="preserve"> </w:t>
      </w:r>
      <w:r>
        <w:rPr>
          <w:rFonts w:ascii="Verdana" w:hAnsi="Verdana" w:cs="Verdana"/>
          <w:color w:val="000000"/>
          <w:sz w:val="17"/>
          <w:szCs w:val="17"/>
        </w:rPr>
        <w:t>было</w:t>
      </w:r>
      <w:r>
        <w:rPr>
          <w:rFonts w:ascii="Verdana" w:hAnsi="Verdana"/>
          <w:color w:val="000000"/>
          <w:sz w:val="17"/>
          <w:szCs w:val="17"/>
        </w:rPr>
        <w:t xml:space="preserve"> </w:t>
      </w:r>
      <w:r>
        <w:rPr>
          <w:rFonts w:ascii="Verdana" w:hAnsi="Verdana" w:cs="Verdana"/>
          <w:color w:val="000000"/>
          <w:sz w:val="17"/>
          <w:szCs w:val="17"/>
        </w:rPr>
        <w:t>способом</w:t>
      </w:r>
      <w:r>
        <w:rPr>
          <w:rFonts w:ascii="Verdana" w:hAnsi="Verdana"/>
          <w:color w:val="000000"/>
          <w:sz w:val="17"/>
          <w:szCs w:val="17"/>
        </w:rPr>
        <w:t xml:space="preserve"> </w:t>
      </w:r>
      <w:r>
        <w:rPr>
          <w:rFonts w:ascii="Verdana" w:hAnsi="Verdana" w:cs="Verdana"/>
          <w:color w:val="000000"/>
          <w:sz w:val="17"/>
          <w:szCs w:val="17"/>
        </w:rPr>
        <w:t>вызвать</w:t>
      </w:r>
      <w:r>
        <w:rPr>
          <w:rFonts w:ascii="Verdana" w:hAnsi="Verdana"/>
          <w:color w:val="000000"/>
          <w:sz w:val="17"/>
          <w:szCs w:val="17"/>
        </w:rPr>
        <w:t xml:space="preserve"> </w:t>
      </w:r>
      <w:r>
        <w:rPr>
          <w:rFonts w:ascii="Verdana" w:hAnsi="Verdana" w:cs="Verdana"/>
          <w:color w:val="000000"/>
          <w:sz w:val="17"/>
          <w:szCs w:val="17"/>
        </w:rPr>
        <w:t>смешение</w:t>
      </w:r>
      <w:r>
        <w:rPr>
          <w:rFonts w:ascii="Verdana" w:hAnsi="Verdana"/>
          <w:color w:val="000000"/>
          <w:sz w:val="17"/>
          <w:szCs w:val="17"/>
        </w:rPr>
        <w:t xml:space="preserve"> </w:t>
      </w:r>
      <w:r>
        <w:rPr>
          <w:rFonts w:ascii="Verdana" w:hAnsi="Verdana" w:cs="Verdana"/>
          <w:color w:val="000000"/>
          <w:sz w:val="17"/>
          <w:szCs w:val="17"/>
        </w:rPr>
        <w:t>в</w:t>
      </w:r>
      <w:r>
        <w:rPr>
          <w:rFonts w:ascii="Verdana" w:hAnsi="Verdana"/>
          <w:color w:val="000000"/>
          <w:sz w:val="17"/>
          <w:szCs w:val="17"/>
        </w:rPr>
        <w:t xml:space="preserve"> </w:t>
      </w:r>
      <w:r>
        <w:rPr>
          <w:rFonts w:ascii="Verdana" w:hAnsi="Verdana" w:cs="Verdana"/>
          <w:color w:val="000000"/>
          <w:sz w:val="17"/>
          <w:szCs w:val="17"/>
        </w:rPr>
        <w:t>отношении</w:t>
      </w:r>
      <w:r>
        <w:rPr>
          <w:rFonts w:ascii="Verdana" w:hAnsi="Verdana"/>
          <w:color w:val="000000"/>
          <w:sz w:val="17"/>
          <w:szCs w:val="17"/>
        </w:rPr>
        <w:t xml:space="preserve"> </w:t>
      </w:r>
      <w:r>
        <w:rPr>
          <w:rFonts w:ascii="Verdana" w:hAnsi="Verdana" w:cs="Verdana"/>
          <w:color w:val="000000"/>
          <w:sz w:val="17"/>
          <w:szCs w:val="17"/>
        </w:rPr>
        <w:t>предприятия</w:t>
      </w:r>
      <w:r>
        <w:rPr>
          <w:rFonts w:ascii="Verdana" w:hAnsi="Verdana"/>
          <w:color w:val="000000"/>
          <w:sz w:val="17"/>
          <w:szCs w:val="17"/>
        </w:rPr>
        <w:t xml:space="preserve">, </w:t>
      </w:r>
      <w:r>
        <w:rPr>
          <w:rFonts w:ascii="Verdana" w:hAnsi="Verdana" w:cs="Verdana"/>
          <w:color w:val="000000"/>
          <w:sz w:val="17"/>
          <w:szCs w:val="17"/>
        </w:rPr>
        <w:t>продуктов</w:t>
      </w:r>
      <w:r>
        <w:rPr>
          <w:rFonts w:ascii="Verdana" w:hAnsi="Verdana"/>
          <w:color w:val="000000"/>
          <w:sz w:val="17"/>
          <w:szCs w:val="17"/>
        </w:rPr>
        <w:t xml:space="preserve"> </w:t>
      </w:r>
      <w:r>
        <w:rPr>
          <w:rFonts w:ascii="Verdana" w:hAnsi="Verdana" w:cs="Verdana"/>
          <w:color w:val="000000"/>
          <w:sz w:val="17"/>
          <w:szCs w:val="17"/>
        </w:rPr>
        <w:t>или</w:t>
      </w:r>
      <w:r>
        <w:rPr>
          <w:rFonts w:ascii="Verdana" w:hAnsi="Verdana"/>
          <w:color w:val="000000"/>
          <w:sz w:val="17"/>
          <w:szCs w:val="17"/>
        </w:rPr>
        <w:t xml:space="preserve"> </w:t>
      </w:r>
      <w:r>
        <w:rPr>
          <w:rFonts w:ascii="Verdana" w:hAnsi="Verdana" w:cs="Verdana"/>
          <w:color w:val="000000"/>
          <w:sz w:val="17"/>
          <w:szCs w:val="17"/>
        </w:rPr>
        <w:t>промышленной</w:t>
      </w:r>
      <w:r>
        <w:rPr>
          <w:rFonts w:ascii="Verdana" w:hAnsi="Verdana"/>
          <w:color w:val="000000"/>
          <w:sz w:val="17"/>
          <w:szCs w:val="17"/>
        </w:rPr>
        <w:t xml:space="preserve"> </w:t>
      </w:r>
      <w:r>
        <w:rPr>
          <w:rFonts w:ascii="Verdana" w:hAnsi="Verdana" w:cs="Verdana"/>
          <w:color w:val="000000"/>
          <w:sz w:val="17"/>
          <w:szCs w:val="17"/>
        </w:rPr>
        <w:t>или</w:t>
      </w:r>
      <w:r>
        <w:rPr>
          <w:rFonts w:ascii="Verdana" w:hAnsi="Verdana"/>
          <w:color w:val="000000"/>
          <w:sz w:val="17"/>
          <w:szCs w:val="17"/>
        </w:rPr>
        <w:t xml:space="preserve"> </w:t>
      </w:r>
      <w:r>
        <w:rPr>
          <w:rFonts w:ascii="Verdana" w:hAnsi="Verdana" w:cs="Verdana"/>
          <w:color w:val="000000"/>
          <w:sz w:val="17"/>
          <w:szCs w:val="17"/>
        </w:rPr>
        <w:t>торговой</w:t>
      </w:r>
      <w:r>
        <w:rPr>
          <w:rFonts w:ascii="Verdana" w:hAnsi="Verdana"/>
          <w:color w:val="000000"/>
          <w:sz w:val="17"/>
          <w:szCs w:val="17"/>
        </w:rPr>
        <w:t xml:space="preserve"> </w:t>
      </w:r>
      <w:r>
        <w:rPr>
          <w:rFonts w:ascii="Verdana" w:hAnsi="Verdana" w:cs="Verdana"/>
          <w:color w:val="000000"/>
          <w:sz w:val="17"/>
          <w:szCs w:val="17"/>
        </w:rPr>
        <w:t>деятельности</w:t>
      </w:r>
      <w:r>
        <w:rPr>
          <w:rFonts w:ascii="Verdana" w:hAnsi="Verdana"/>
          <w:color w:val="000000"/>
          <w:sz w:val="17"/>
          <w:szCs w:val="17"/>
        </w:rPr>
        <w:t xml:space="preserve"> </w:t>
      </w:r>
      <w:r>
        <w:rPr>
          <w:rFonts w:ascii="Verdana" w:hAnsi="Verdana" w:cs="Verdana"/>
          <w:color w:val="000000"/>
          <w:sz w:val="17"/>
          <w:szCs w:val="17"/>
        </w:rPr>
        <w:t>конкурента</w:t>
      </w:r>
      <w:r>
        <w:rPr>
          <w:rFonts w:ascii="Verdana" w:hAnsi="Verdana"/>
          <w:color w:val="000000"/>
          <w:sz w:val="17"/>
          <w:szCs w:val="17"/>
        </w:rPr>
        <w:t xml:space="preserve"> (</w:t>
      </w:r>
      <w:r>
        <w:rPr>
          <w:rFonts w:ascii="Verdana" w:hAnsi="Verdana" w:cs="Verdana"/>
          <w:color w:val="000000"/>
          <w:sz w:val="17"/>
          <w:szCs w:val="17"/>
        </w:rPr>
        <w:t>такое</w:t>
      </w:r>
      <w:r>
        <w:rPr>
          <w:rFonts w:ascii="Verdana" w:hAnsi="Verdana"/>
          <w:color w:val="000000"/>
          <w:sz w:val="17"/>
          <w:szCs w:val="17"/>
        </w:rPr>
        <w:t xml:space="preserve"> </w:t>
      </w:r>
      <w:r>
        <w:rPr>
          <w:rFonts w:ascii="Verdana" w:hAnsi="Verdana" w:cs="Verdana"/>
          <w:color w:val="000000"/>
          <w:sz w:val="17"/>
          <w:szCs w:val="17"/>
        </w:rPr>
        <w:t>смешение</w:t>
      </w:r>
      <w:r>
        <w:rPr>
          <w:rFonts w:ascii="Verdana" w:hAnsi="Verdana"/>
          <w:color w:val="000000"/>
          <w:sz w:val="17"/>
          <w:szCs w:val="17"/>
        </w:rPr>
        <w:t xml:space="preserve"> </w:t>
      </w:r>
      <w:r>
        <w:rPr>
          <w:rFonts w:ascii="Verdana" w:hAnsi="Verdana" w:cs="Verdana"/>
          <w:color w:val="000000"/>
          <w:sz w:val="17"/>
          <w:szCs w:val="17"/>
        </w:rPr>
        <w:t>может</w:t>
      </w:r>
      <w:r>
        <w:rPr>
          <w:rFonts w:ascii="Verdana" w:hAnsi="Verdana"/>
          <w:color w:val="000000"/>
          <w:sz w:val="17"/>
          <w:szCs w:val="17"/>
        </w:rPr>
        <w:t xml:space="preserve"> </w:t>
      </w:r>
      <w:r>
        <w:rPr>
          <w:rFonts w:ascii="Verdana" w:hAnsi="Verdana" w:cs="Verdana"/>
          <w:color w:val="000000"/>
          <w:sz w:val="17"/>
          <w:szCs w:val="17"/>
        </w:rPr>
        <w:t>возникнуть</w:t>
      </w:r>
      <w:r>
        <w:rPr>
          <w:rFonts w:ascii="Verdana" w:hAnsi="Verdana"/>
          <w:color w:val="000000"/>
          <w:sz w:val="17"/>
          <w:szCs w:val="17"/>
        </w:rPr>
        <w:t xml:space="preserve"> </w:t>
      </w:r>
      <w:r>
        <w:rPr>
          <w:rFonts w:ascii="Verdana" w:hAnsi="Verdana" w:cs="Verdana"/>
          <w:color w:val="000000"/>
          <w:sz w:val="17"/>
          <w:szCs w:val="17"/>
        </w:rPr>
        <w:t>в</w:t>
      </w:r>
      <w:r>
        <w:rPr>
          <w:rFonts w:ascii="Verdana" w:hAnsi="Verdana"/>
          <w:color w:val="000000"/>
          <w:sz w:val="17"/>
          <w:szCs w:val="17"/>
        </w:rPr>
        <w:t xml:space="preserve"> </w:t>
      </w:r>
      <w:r>
        <w:rPr>
          <w:rFonts w:ascii="Verdana" w:hAnsi="Verdana" w:cs="Verdana"/>
          <w:color w:val="000000"/>
          <w:sz w:val="17"/>
          <w:szCs w:val="17"/>
        </w:rPr>
        <w:t>результате</w:t>
      </w:r>
      <w:r>
        <w:rPr>
          <w:rFonts w:ascii="Verdana" w:hAnsi="Verdana"/>
          <w:color w:val="000000"/>
          <w:sz w:val="17"/>
          <w:szCs w:val="17"/>
        </w:rPr>
        <w:t xml:space="preserve"> </w:t>
      </w:r>
      <w:r>
        <w:rPr>
          <w:rFonts w:ascii="Verdana" w:hAnsi="Verdana" w:cs="Verdana"/>
          <w:color w:val="000000"/>
          <w:sz w:val="17"/>
          <w:szCs w:val="17"/>
        </w:rPr>
        <w:t>незаконного</w:t>
      </w:r>
      <w:r>
        <w:rPr>
          <w:rFonts w:ascii="Verdana" w:hAnsi="Verdana"/>
          <w:color w:val="000000"/>
          <w:sz w:val="17"/>
          <w:szCs w:val="17"/>
        </w:rPr>
        <w:t xml:space="preserve"> </w:t>
      </w:r>
      <w:r>
        <w:rPr>
          <w:rFonts w:ascii="Verdana" w:hAnsi="Verdana" w:cs="Verdana"/>
          <w:color w:val="000000"/>
          <w:sz w:val="17"/>
          <w:szCs w:val="17"/>
        </w:rPr>
        <w:t>использования</w:t>
      </w:r>
      <w:r>
        <w:rPr>
          <w:rFonts w:ascii="Verdana" w:hAnsi="Verdana"/>
          <w:color w:val="000000"/>
          <w:sz w:val="17"/>
          <w:szCs w:val="17"/>
        </w:rPr>
        <w:t xml:space="preserve"> </w:t>
      </w:r>
      <w:r>
        <w:rPr>
          <w:rFonts w:ascii="Verdana" w:hAnsi="Verdana" w:cs="Verdana"/>
          <w:color w:val="000000"/>
          <w:sz w:val="17"/>
          <w:szCs w:val="17"/>
        </w:rPr>
        <w:t>то</w:t>
      </w:r>
      <w:r>
        <w:rPr>
          <w:rFonts w:ascii="Verdana" w:hAnsi="Verdana"/>
          <w:color w:val="000000"/>
          <w:sz w:val="17"/>
          <w:szCs w:val="17"/>
        </w:rPr>
        <w:t>варного знака, фирменного наименования, промышленных образцов или произведений дизайна);</w:t>
      </w:r>
      <w:r>
        <w:rPr>
          <w:rFonts w:ascii="Verdana" w:hAnsi="Verdana"/>
          <w:color w:val="000000"/>
          <w:sz w:val="17"/>
          <w:szCs w:val="17"/>
        </w:rPr>
        <w:br/>
        <w:t xml:space="preserve">   </w:t>
      </w:r>
      <w:r>
        <w:rPr>
          <w:rFonts w:ascii="Segoe UI Symbol" w:hAnsi="Segoe UI Symbol" w:cs="Segoe UI Symbol"/>
          <w:color w:val="000000"/>
          <w:sz w:val="17"/>
          <w:szCs w:val="17"/>
        </w:rPr>
        <w:t>♦</w:t>
      </w:r>
      <w:r>
        <w:rPr>
          <w:rFonts w:ascii="Verdana" w:hAnsi="Verdana"/>
          <w:color w:val="000000"/>
          <w:sz w:val="17"/>
          <w:szCs w:val="17"/>
        </w:rPr>
        <w:t xml:space="preserve"> </w:t>
      </w:r>
      <w:r>
        <w:rPr>
          <w:rFonts w:ascii="Verdana" w:hAnsi="Verdana" w:cs="Verdana"/>
          <w:color w:val="000000"/>
          <w:sz w:val="17"/>
          <w:szCs w:val="17"/>
        </w:rPr>
        <w:t>ложные</w:t>
      </w:r>
      <w:r>
        <w:rPr>
          <w:rFonts w:ascii="Verdana" w:hAnsi="Verdana"/>
          <w:color w:val="000000"/>
          <w:sz w:val="17"/>
          <w:szCs w:val="17"/>
        </w:rPr>
        <w:t xml:space="preserve"> </w:t>
      </w:r>
      <w:r>
        <w:rPr>
          <w:rFonts w:ascii="Verdana" w:hAnsi="Verdana" w:cs="Verdana"/>
          <w:color w:val="000000"/>
          <w:sz w:val="17"/>
          <w:szCs w:val="17"/>
        </w:rPr>
        <w:t>утверждения</w:t>
      </w:r>
      <w:r>
        <w:rPr>
          <w:rFonts w:ascii="Verdana" w:hAnsi="Verdana"/>
          <w:color w:val="000000"/>
          <w:sz w:val="17"/>
          <w:szCs w:val="17"/>
        </w:rPr>
        <w:t xml:space="preserve"> </w:t>
      </w:r>
      <w:r>
        <w:rPr>
          <w:rFonts w:ascii="Verdana" w:hAnsi="Verdana" w:cs="Verdana"/>
          <w:color w:val="000000"/>
          <w:sz w:val="17"/>
          <w:szCs w:val="17"/>
        </w:rPr>
        <w:t>при</w:t>
      </w:r>
      <w:r>
        <w:rPr>
          <w:rFonts w:ascii="Verdana" w:hAnsi="Verdana"/>
          <w:color w:val="000000"/>
          <w:sz w:val="17"/>
          <w:szCs w:val="17"/>
        </w:rPr>
        <w:t xml:space="preserve"> </w:t>
      </w:r>
      <w:r>
        <w:rPr>
          <w:rFonts w:ascii="Verdana" w:hAnsi="Verdana" w:cs="Verdana"/>
          <w:color w:val="000000"/>
          <w:sz w:val="17"/>
          <w:szCs w:val="17"/>
        </w:rPr>
        <w:t>осуществлении</w:t>
      </w:r>
      <w:r>
        <w:rPr>
          <w:rFonts w:ascii="Verdana" w:hAnsi="Verdana"/>
          <w:color w:val="000000"/>
          <w:sz w:val="17"/>
          <w:szCs w:val="17"/>
        </w:rPr>
        <w:t xml:space="preserve"> </w:t>
      </w:r>
      <w:r>
        <w:rPr>
          <w:rFonts w:ascii="Verdana" w:hAnsi="Verdana" w:cs="Verdana"/>
          <w:color w:val="000000"/>
          <w:sz w:val="17"/>
          <w:szCs w:val="17"/>
        </w:rPr>
        <w:t>коммерческой</w:t>
      </w:r>
      <w:r>
        <w:rPr>
          <w:rFonts w:ascii="Verdana" w:hAnsi="Verdana"/>
          <w:color w:val="000000"/>
          <w:sz w:val="17"/>
          <w:szCs w:val="17"/>
        </w:rPr>
        <w:t xml:space="preserve"> </w:t>
      </w:r>
      <w:r>
        <w:rPr>
          <w:rFonts w:ascii="Verdana" w:hAnsi="Verdana" w:cs="Verdana"/>
          <w:color w:val="000000"/>
          <w:sz w:val="17"/>
          <w:szCs w:val="17"/>
        </w:rPr>
        <w:t>деятельности</w:t>
      </w:r>
      <w:r>
        <w:rPr>
          <w:rFonts w:ascii="Verdana" w:hAnsi="Verdana"/>
          <w:color w:val="000000"/>
          <w:sz w:val="17"/>
          <w:szCs w:val="17"/>
        </w:rPr>
        <w:t xml:space="preserve">, </w:t>
      </w:r>
      <w:r>
        <w:rPr>
          <w:rFonts w:ascii="Verdana" w:hAnsi="Verdana" w:cs="Verdana"/>
          <w:color w:val="000000"/>
          <w:sz w:val="17"/>
          <w:szCs w:val="17"/>
        </w:rPr>
        <w:t>способные</w:t>
      </w:r>
      <w:r>
        <w:rPr>
          <w:rFonts w:ascii="Verdana" w:hAnsi="Verdana"/>
          <w:color w:val="000000"/>
          <w:sz w:val="17"/>
          <w:szCs w:val="17"/>
        </w:rPr>
        <w:t xml:space="preserve"> </w:t>
      </w:r>
      <w:r>
        <w:rPr>
          <w:rFonts w:ascii="Verdana" w:hAnsi="Verdana" w:cs="Verdana"/>
          <w:color w:val="000000"/>
          <w:sz w:val="17"/>
          <w:szCs w:val="17"/>
        </w:rPr>
        <w:t>дискредитировать</w:t>
      </w:r>
      <w:r>
        <w:rPr>
          <w:rFonts w:ascii="Verdana" w:hAnsi="Verdana"/>
          <w:color w:val="000000"/>
          <w:sz w:val="17"/>
          <w:szCs w:val="17"/>
        </w:rPr>
        <w:t xml:space="preserve"> </w:t>
      </w:r>
      <w:r>
        <w:rPr>
          <w:rFonts w:ascii="Verdana" w:hAnsi="Verdana" w:cs="Verdana"/>
          <w:color w:val="000000"/>
          <w:sz w:val="17"/>
          <w:szCs w:val="17"/>
        </w:rPr>
        <w:t>предприятие</w:t>
      </w:r>
      <w:r>
        <w:rPr>
          <w:rFonts w:ascii="Verdana" w:hAnsi="Verdana"/>
          <w:color w:val="000000"/>
          <w:sz w:val="17"/>
          <w:szCs w:val="17"/>
        </w:rPr>
        <w:t xml:space="preserve">, </w:t>
      </w:r>
      <w:r>
        <w:rPr>
          <w:rFonts w:ascii="Verdana" w:hAnsi="Verdana" w:cs="Verdana"/>
          <w:color w:val="000000"/>
          <w:sz w:val="17"/>
          <w:szCs w:val="17"/>
        </w:rPr>
        <w:t>продукты</w:t>
      </w:r>
      <w:r>
        <w:rPr>
          <w:rFonts w:ascii="Verdana" w:hAnsi="Verdana"/>
          <w:color w:val="000000"/>
          <w:sz w:val="17"/>
          <w:szCs w:val="17"/>
        </w:rPr>
        <w:t xml:space="preserve">, </w:t>
      </w:r>
      <w:r>
        <w:rPr>
          <w:rFonts w:ascii="Verdana" w:hAnsi="Verdana" w:cs="Verdana"/>
          <w:color w:val="000000"/>
          <w:sz w:val="17"/>
          <w:szCs w:val="17"/>
        </w:rPr>
        <w:t>промышленную</w:t>
      </w:r>
      <w:r>
        <w:rPr>
          <w:rFonts w:ascii="Verdana" w:hAnsi="Verdana"/>
          <w:color w:val="000000"/>
          <w:sz w:val="17"/>
          <w:szCs w:val="17"/>
        </w:rPr>
        <w:t xml:space="preserve"> </w:t>
      </w:r>
      <w:r>
        <w:rPr>
          <w:rFonts w:ascii="Verdana" w:hAnsi="Verdana" w:cs="Verdana"/>
          <w:color w:val="000000"/>
          <w:sz w:val="17"/>
          <w:szCs w:val="17"/>
        </w:rPr>
        <w:t>или</w:t>
      </w:r>
      <w:r>
        <w:rPr>
          <w:rFonts w:ascii="Verdana" w:hAnsi="Verdana"/>
          <w:color w:val="000000"/>
          <w:sz w:val="17"/>
          <w:szCs w:val="17"/>
        </w:rPr>
        <w:t xml:space="preserve"> </w:t>
      </w:r>
      <w:r>
        <w:rPr>
          <w:rFonts w:ascii="Verdana" w:hAnsi="Verdana" w:cs="Verdana"/>
          <w:color w:val="000000"/>
          <w:sz w:val="17"/>
          <w:szCs w:val="17"/>
        </w:rPr>
        <w:t>торговую</w:t>
      </w:r>
      <w:r>
        <w:rPr>
          <w:rFonts w:ascii="Verdana" w:hAnsi="Verdana"/>
          <w:color w:val="000000"/>
          <w:sz w:val="17"/>
          <w:szCs w:val="17"/>
        </w:rPr>
        <w:t xml:space="preserve"> </w:t>
      </w:r>
      <w:r>
        <w:rPr>
          <w:rFonts w:ascii="Verdana" w:hAnsi="Verdana" w:cs="Verdana"/>
          <w:color w:val="000000"/>
          <w:sz w:val="17"/>
          <w:szCs w:val="17"/>
        </w:rPr>
        <w:t>деятельность</w:t>
      </w:r>
      <w:r>
        <w:rPr>
          <w:rFonts w:ascii="Verdana" w:hAnsi="Verdana"/>
          <w:color w:val="000000"/>
          <w:sz w:val="17"/>
          <w:szCs w:val="17"/>
        </w:rPr>
        <w:t xml:space="preserve"> </w:t>
      </w:r>
      <w:r>
        <w:rPr>
          <w:rFonts w:ascii="Verdana" w:hAnsi="Verdana" w:cs="Verdana"/>
          <w:color w:val="000000"/>
          <w:sz w:val="17"/>
          <w:szCs w:val="17"/>
        </w:rPr>
        <w:t>конкурент</w:t>
      </w:r>
      <w:r>
        <w:rPr>
          <w:rFonts w:ascii="Verdana" w:hAnsi="Verdana"/>
          <w:color w:val="000000"/>
          <w:sz w:val="17"/>
          <w:szCs w:val="17"/>
        </w:rPr>
        <w:t>а;</w:t>
      </w:r>
      <w:r>
        <w:rPr>
          <w:rFonts w:ascii="Verdana" w:hAnsi="Verdana"/>
          <w:color w:val="000000"/>
          <w:sz w:val="17"/>
          <w:szCs w:val="17"/>
        </w:rPr>
        <w:br/>
        <w:t xml:space="preserve">   </w:t>
      </w:r>
      <w:r>
        <w:rPr>
          <w:rFonts w:ascii="Segoe UI Symbol" w:hAnsi="Segoe UI Symbol" w:cs="Segoe UI Symbol"/>
          <w:color w:val="000000"/>
          <w:sz w:val="17"/>
          <w:szCs w:val="17"/>
        </w:rPr>
        <w:t>♦</w:t>
      </w:r>
      <w:r>
        <w:rPr>
          <w:rFonts w:ascii="Verdana" w:hAnsi="Verdana"/>
          <w:color w:val="000000"/>
          <w:sz w:val="17"/>
          <w:szCs w:val="17"/>
        </w:rPr>
        <w:t xml:space="preserve"> </w:t>
      </w:r>
      <w:r>
        <w:rPr>
          <w:rFonts w:ascii="Verdana" w:hAnsi="Verdana" w:cs="Verdana"/>
          <w:color w:val="000000"/>
          <w:sz w:val="17"/>
          <w:szCs w:val="17"/>
        </w:rPr>
        <w:t>указание</w:t>
      </w:r>
      <w:r>
        <w:rPr>
          <w:rFonts w:ascii="Verdana" w:hAnsi="Verdana"/>
          <w:color w:val="000000"/>
          <w:sz w:val="17"/>
          <w:szCs w:val="17"/>
        </w:rPr>
        <w:t xml:space="preserve"> </w:t>
      </w:r>
      <w:r>
        <w:rPr>
          <w:rFonts w:ascii="Verdana" w:hAnsi="Verdana" w:cs="Verdana"/>
          <w:color w:val="000000"/>
          <w:sz w:val="17"/>
          <w:szCs w:val="17"/>
        </w:rPr>
        <w:t>или</w:t>
      </w:r>
      <w:r>
        <w:rPr>
          <w:rFonts w:ascii="Verdana" w:hAnsi="Verdana"/>
          <w:color w:val="000000"/>
          <w:sz w:val="17"/>
          <w:szCs w:val="17"/>
        </w:rPr>
        <w:t xml:space="preserve"> </w:t>
      </w:r>
      <w:r>
        <w:rPr>
          <w:rFonts w:ascii="Verdana" w:hAnsi="Verdana" w:cs="Verdana"/>
          <w:color w:val="000000"/>
          <w:sz w:val="17"/>
          <w:szCs w:val="17"/>
        </w:rPr>
        <w:t>утверждения</w:t>
      </w:r>
      <w:r>
        <w:rPr>
          <w:rFonts w:ascii="Verdana" w:hAnsi="Verdana"/>
          <w:color w:val="000000"/>
          <w:sz w:val="17"/>
          <w:szCs w:val="17"/>
        </w:rPr>
        <w:t xml:space="preserve">, </w:t>
      </w:r>
      <w:r>
        <w:rPr>
          <w:rFonts w:ascii="Verdana" w:hAnsi="Verdana" w:cs="Verdana"/>
          <w:color w:val="000000"/>
          <w:sz w:val="17"/>
          <w:szCs w:val="17"/>
        </w:rPr>
        <w:t>использование</w:t>
      </w:r>
      <w:r>
        <w:rPr>
          <w:rFonts w:ascii="Verdana" w:hAnsi="Verdana"/>
          <w:color w:val="000000"/>
          <w:sz w:val="17"/>
          <w:szCs w:val="17"/>
        </w:rPr>
        <w:t xml:space="preserve"> </w:t>
      </w:r>
      <w:r>
        <w:rPr>
          <w:rFonts w:ascii="Verdana" w:hAnsi="Verdana" w:cs="Verdana"/>
          <w:color w:val="000000"/>
          <w:sz w:val="17"/>
          <w:szCs w:val="17"/>
        </w:rPr>
        <w:t>которых</w:t>
      </w:r>
      <w:r>
        <w:rPr>
          <w:rFonts w:ascii="Verdana" w:hAnsi="Verdana"/>
          <w:color w:val="000000"/>
          <w:sz w:val="17"/>
          <w:szCs w:val="17"/>
        </w:rPr>
        <w:t xml:space="preserve"> </w:t>
      </w:r>
      <w:r>
        <w:rPr>
          <w:rFonts w:ascii="Verdana" w:hAnsi="Verdana" w:cs="Verdana"/>
          <w:color w:val="000000"/>
          <w:sz w:val="17"/>
          <w:szCs w:val="17"/>
        </w:rPr>
        <w:t>при</w:t>
      </w:r>
      <w:r>
        <w:rPr>
          <w:rFonts w:ascii="Verdana" w:hAnsi="Verdana"/>
          <w:color w:val="000000"/>
          <w:sz w:val="17"/>
          <w:szCs w:val="17"/>
        </w:rPr>
        <w:t xml:space="preserve"> </w:t>
      </w:r>
      <w:r>
        <w:rPr>
          <w:rFonts w:ascii="Verdana" w:hAnsi="Verdana" w:cs="Verdana"/>
          <w:color w:val="000000"/>
          <w:sz w:val="17"/>
          <w:szCs w:val="17"/>
        </w:rPr>
        <w:t>осуществлении</w:t>
      </w:r>
      <w:r>
        <w:rPr>
          <w:rFonts w:ascii="Verdana" w:hAnsi="Verdana"/>
          <w:color w:val="000000"/>
          <w:sz w:val="17"/>
          <w:szCs w:val="17"/>
        </w:rPr>
        <w:t xml:space="preserve"> </w:t>
      </w:r>
      <w:r>
        <w:rPr>
          <w:rFonts w:ascii="Verdana" w:hAnsi="Verdana" w:cs="Verdana"/>
          <w:color w:val="000000"/>
          <w:sz w:val="17"/>
          <w:szCs w:val="17"/>
        </w:rPr>
        <w:t>коммерческой</w:t>
      </w:r>
      <w:r>
        <w:rPr>
          <w:rFonts w:ascii="Verdana" w:hAnsi="Verdana"/>
          <w:color w:val="000000"/>
          <w:sz w:val="17"/>
          <w:szCs w:val="17"/>
        </w:rPr>
        <w:t xml:space="preserve"> </w:t>
      </w:r>
      <w:r>
        <w:rPr>
          <w:rFonts w:ascii="Verdana" w:hAnsi="Verdana" w:cs="Verdana"/>
          <w:color w:val="000000"/>
          <w:sz w:val="17"/>
          <w:szCs w:val="17"/>
        </w:rPr>
        <w:t>деятельности</w:t>
      </w:r>
      <w:r>
        <w:rPr>
          <w:rFonts w:ascii="Verdana" w:hAnsi="Verdana"/>
          <w:color w:val="000000"/>
          <w:sz w:val="17"/>
          <w:szCs w:val="17"/>
        </w:rPr>
        <w:t xml:space="preserve"> </w:t>
      </w:r>
      <w:r>
        <w:rPr>
          <w:rFonts w:ascii="Verdana" w:hAnsi="Verdana" w:cs="Verdana"/>
          <w:color w:val="000000"/>
          <w:sz w:val="17"/>
          <w:szCs w:val="17"/>
        </w:rPr>
        <w:t>может</w:t>
      </w:r>
      <w:r>
        <w:rPr>
          <w:rFonts w:ascii="Verdana" w:hAnsi="Verdana"/>
          <w:color w:val="000000"/>
          <w:sz w:val="17"/>
          <w:szCs w:val="17"/>
        </w:rPr>
        <w:t xml:space="preserve"> </w:t>
      </w:r>
      <w:r>
        <w:rPr>
          <w:rFonts w:ascii="Verdana" w:hAnsi="Verdana" w:cs="Verdana"/>
          <w:color w:val="000000"/>
          <w:sz w:val="17"/>
          <w:szCs w:val="17"/>
        </w:rPr>
        <w:t>ввести</w:t>
      </w:r>
      <w:r>
        <w:rPr>
          <w:rFonts w:ascii="Verdana" w:hAnsi="Verdana"/>
          <w:color w:val="000000"/>
          <w:sz w:val="17"/>
          <w:szCs w:val="17"/>
        </w:rPr>
        <w:t xml:space="preserve"> </w:t>
      </w:r>
      <w:r>
        <w:rPr>
          <w:rFonts w:ascii="Verdana" w:hAnsi="Verdana" w:cs="Verdana"/>
          <w:color w:val="000000"/>
          <w:sz w:val="17"/>
          <w:szCs w:val="17"/>
        </w:rPr>
        <w:t>общественность</w:t>
      </w:r>
      <w:r>
        <w:rPr>
          <w:rFonts w:ascii="Verdana" w:hAnsi="Verdana"/>
          <w:color w:val="000000"/>
          <w:sz w:val="17"/>
          <w:szCs w:val="17"/>
        </w:rPr>
        <w:t xml:space="preserve"> </w:t>
      </w:r>
      <w:r>
        <w:rPr>
          <w:rFonts w:ascii="Verdana" w:hAnsi="Verdana" w:cs="Verdana"/>
          <w:color w:val="000000"/>
          <w:sz w:val="17"/>
          <w:szCs w:val="17"/>
        </w:rPr>
        <w:t>в</w:t>
      </w:r>
      <w:r>
        <w:rPr>
          <w:rFonts w:ascii="Verdana" w:hAnsi="Verdana"/>
          <w:color w:val="000000"/>
          <w:sz w:val="17"/>
          <w:szCs w:val="17"/>
        </w:rPr>
        <w:t xml:space="preserve"> </w:t>
      </w:r>
      <w:r>
        <w:rPr>
          <w:rFonts w:ascii="Verdana" w:hAnsi="Verdana" w:cs="Verdana"/>
          <w:color w:val="000000"/>
          <w:sz w:val="17"/>
          <w:szCs w:val="17"/>
        </w:rPr>
        <w:t>заблуждение</w:t>
      </w:r>
      <w:r>
        <w:rPr>
          <w:rFonts w:ascii="Verdana" w:hAnsi="Verdana"/>
          <w:color w:val="000000"/>
          <w:sz w:val="17"/>
          <w:szCs w:val="17"/>
        </w:rPr>
        <w:t xml:space="preserve"> </w:t>
      </w:r>
      <w:r>
        <w:rPr>
          <w:rFonts w:ascii="Verdana" w:hAnsi="Verdana" w:cs="Verdana"/>
          <w:color w:val="000000"/>
          <w:sz w:val="17"/>
          <w:szCs w:val="17"/>
        </w:rPr>
        <w:t>относительно</w:t>
      </w:r>
      <w:r>
        <w:rPr>
          <w:rFonts w:ascii="Verdana" w:hAnsi="Verdana"/>
          <w:color w:val="000000"/>
          <w:sz w:val="17"/>
          <w:szCs w:val="17"/>
        </w:rPr>
        <w:t xml:space="preserve"> </w:t>
      </w:r>
      <w:r>
        <w:rPr>
          <w:rFonts w:ascii="Verdana" w:hAnsi="Verdana" w:cs="Verdana"/>
          <w:color w:val="000000"/>
          <w:sz w:val="17"/>
          <w:szCs w:val="17"/>
        </w:rPr>
        <w:t>характера</w:t>
      </w:r>
      <w:r>
        <w:rPr>
          <w:rFonts w:ascii="Verdana" w:hAnsi="Verdana"/>
          <w:color w:val="000000"/>
          <w:sz w:val="17"/>
          <w:szCs w:val="17"/>
        </w:rPr>
        <w:t xml:space="preserve">, </w:t>
      </w:r>
      <w:r>
        <w:rPr>
          <w:rFonts w:ascii="Verdana" w:hAnsi="Verdana" w:cs="Verdana"/>
          <w:color w:val="000000"/>
          <w:sz w:val="17"/>
          <w:szCs w:val="17"/>
        </w:rPr>
        <w:t>способа</w:t>
      </w:r>
      <w:r>
        <w:rPr>
          <w:rFonts w:ascii="Verdana" w:hAnsi="Verdana"/>
          <w:color w:val="000000"/>
          <w:sz w:val="17"/>
          <w:szCs w:val="17"/>
        </w:rPr>
        <w:t xml:space="preserve"> </w:t>
      </w:r>
      <w:r>
        <w:rPr>
          <w:rFonts w:ascii="Verdana" w:hAnsi="Verdana" w:cs="Verdana"/>
          <w:color w:val="000000"/>
          <w:sz w:val="17"/>
          <w:szCs w:val="17"/>
        </w:rPr>
        <w:t>изготовления</w:t>
      </w:r>
      <w:r>
        <w:rPr>
          <w:rFonts w:ascii="Verdana" w:hAnsi="Verdana"/>
          <w:color w:val="000000"/>
          <w:sz w:val="17"/>
          <w:szCs w:val="17"/>
        </w:rPr>
        <w:t xml:space="preserve">, </w:t>
      </w:r>
      <w:r>
        <w:rPr>
          <w:rFonts w:ascii="Verdana" w:hAnsi="Verdana" w:cs="Verdana"/>
          <w:color w:val="000000"/>
          <w:sz w:val="17"/>
          <w:szCs w:val="17"/>
        </w:rPr>
        <w:t>свойств</w:t>
      </w:r>
      <w:r>
        <w:rPr>
          <w:rFonts w:ascii="Verdana" w:hAnsi="Verdana"/>
          <w:color w:val="000000"/>
          <w:sz w:val="17"/>
          <w:szCs w:val="17"/>
        </w:rPr>
        <w:t xml:space="preserve">, </w:t>
      </w:r>
      <w:r>
        <w:rPr>
          <w:rFonts w:ascii="Verdana" w:hAnsi="Verdana" w:cs="Verdana"/>
          <w:color w:val="000000"/>
          <w:sz w:val="17"/>
          <w:szCs w:val="17"/>
        </w:rPr>
        <w:t>пригодности</w:t>
      </w:r>
      <w:r>
        <w:rPr>
          <w:rFonts w:ascii="Verdana" w:hAnsi="Verdana"/>
          <w:color w:val="000000"/>
          <w:sz w:val="17"/>
          <w:szCs w:val="17"/>
        </w:rPr>
        <w:t xml:space="preserve"> </w:t>
      </w:r>
      <w:r>
        <w:rPr>
          <w:rFonts w:ascii="Verdana" w:hAnsi="Verdana" w:cs="Verdana"/>
          <w:color w:val="000000"/>
          <w:sz w:val="17"/>
          <w:szCs w:val="17"/>
        </w:rPr>
        <w:t>к</w:t>
      </w:r>
      <w:r>
        <w:rPr>
          <w:rFonts w:ascii="Verdana" w:hAnsi="Verdana"/>
          <w:color w:val="000000"/>
          <w:sz w:val="17"/>
          <w:szCs w:val="17"/>
        </w:rPr>
        <w:t xml:space="preserve"> </w:t>
      </w:r>
      <w:r>
        <w:rPr>
          <w:rFonts w:ascii="Verdana" w:hAnsi="Verdana" w:cs="Verdana"/>
          <w:color w:val="000000"/>
          <w:sz w:val="17"/>
          <w:szCs w:val="17"/>
        </w:rPr>
        <w:t>применению</w:t>
      </w:r>
      <w:r>
        <w:rPr>
          <w:rFonts w:ascii="Verdana" w:hAnsi="Verdana"/>
          <w:color w:val="000000"/>
          <w:sz w:val="17"/>
          <w:szCs w:val="17"/>
        </w:rPr>
        <w:t xml:space="preserve"> </w:t>
      </w:r>
      <w:r>
        <w:rPr>
          <w:rFonts w:ascii="Verdana" w:hAnsi="Verdana" w:cs="Verdana"/>
          <w:color w:val="000000"/>
          <w:sz w:val="17"/>
          <w:szCs w:val="17"/>
        </w:rPr>
        <w:t>или</w:t>
      </w:r>
      <w:r>
        <w:rPr>
          <w:rFonts w:ascii="Verdana" w:hAnsi="Verdana"/>
          <w:color w:val="000000"/>
          <w:sz w:val="17"/>
          <w:szCs w:val="17"/>
        </w:rPr>
        <w:t xml:space="preserve"> </w:t>
      </w:r>
      <w:r>
        <w:rPr>
          <w:rFonts w:ascii="Verdana" w:hAnsi="Verdana" w:cs="Verdana"/>
          <w:color w:val="000000"/>
          <w:sz w:val="17"/>
          <w:szCs w:val="17"/>
        </w:rPr>
        <w:t>количества</w:t>
      </w:r>
      <w:r>
        <w:rPr>
          <w:rFonts w:ascii="Verdana" w:hAnsi="Verdana"/>
          <w:color w:val="000000"/>
          <w:sz w:val="17"/>
          <w:szCs w:val="17"/>
        </w:rPr>
        <w:t xml:space="preserve"> </w:t>
      </w:r>
      <w:r>
        <w:rPr>
          <w:rFonts w:ascii="Verdana" w:hAnsi="Verdana" w:cs="Verdana"/>
          <w:color w:val="000000"/>
          <w:sz w:val="17"/>
          <w:szCs w:val="17"/>
        </w:rPr>
        <w:t>товаров</w:t>
      </w:r>
      <w:r>
        <w:rPr>
          <w:rFonts w:ascii="Verdana" w:hAnsi="Verdana"/>
          <w:color w:val="000000"/>
          <w:sz w:val="17"/>
          <w:szCs w:val="17"/>
        </w:rPr>
        <w:t>.</w:t>
      </w:r>
      <w:r>
        <w:rPr>
          <w:rFonts w:ascii="Verdana" w:hAnsi="Verdana"/>
          <w:color w:val="000000"/>
          <w:sz w:val="17"/>
          <w:szCs w:val="17"/>
        </w:rPr>
        <w:br/>
      </w:r>
      <w:r>
        <w:rPr>
          <w:rFonts w:ascii="Verdana" w:hAnsi="Verdana" w:cs="Verdana"/>
          <w:color w:val="000000"/>
          <w:sz w:val="17"/>
          <w:szCs w:val="17"/>
        </w:rPr>
        <w:t>  </w:t>
      </w:r>
      <w:r>
        <w:rPr>
          <w:rFonts w:ascii="Verdana" w:hAnsi="Verdana"/>
          <w:color w:val="000000"/>
          <w:sz w:val="17"/>
          <w:szCs w:val="17"/>
        </w:rPr>
        <w:t xml:space="preserve"> </w:t>
      </w:r>
      <w:r>
        <w:rPr>
          <w:rFonts w:ascii="Verdana" w:hAnsi="Verdana" w:cs="Verdana"/>
          <w:color w:val="000000"/>
          <w:sz w:val="17"/>
          <w:szCs w:val="17"/>
        </w:rPr>
        <w:t>Исходя</w:t>
      </w:r>
      <w:r>
        <w:rPr>
          <w:rFonts w:ascii="Verdana" w:hAnsi="Verdana"/>
          <w:color w:val="000000"/>
          <w:sz w:val="17"/>
          <w:szCs w:val="17"/>
        </w:rPr>
        <w:t xml:space="preserve"> из принципов Парижской конвенции, методы недобросовестной конкуренции как разновидности нарушений законодательства обладают существенной особенностью, состоящей в том, что во внимание принимается, наряду с собственно нарушением закона, также этическая оценка совершаемых конкурентами действий - нормы добропорядочности, разумности, а также обычаи делового оборота. Соответственно, весьма широк и спектр действий, которые могут быть расценены как недобросовестная конкуренция, причем такие действия могут совершаться на всех этапах разработки, производства и реализации товаров.</w:t>
      </w:r>
      <w:r>
        <w:rPr>
          <w:rFonts w:ascii="Verdana" w:hAnsi="Verdana"/>
          <w:color w:val="000000"/>
          <w:sz w:val="17"/>
          <w:szCs w:val="17"/>
        </w:rPr>
        <w:br/>
        <w:t>   Содержание терминов «добропорядочность», «разумность», «справедливость» достаточно расплывчато. Действия, противоречащие требованиям добропорядочности, могут быть признаны таковыми, если они осуществляются по нечестным правилам, противоречащим принятым в обществе нормам поведения. Действия конкурентов могут быть признаны противоречащими требованиям разумности и справедливости, если они не соответствуют поставленной цели, являются нелогичными и ведут к непредсказуемым последствиям.</w:t>
      </w:r>
      <w:r>
        <w:rPr>
          <w:rFonts w:ascii="Verdana" w:hAnsi="Verdana"/>
          <w:color w:val="000000"/>
          <w:sz w:val="17"/>
          <w:szCs w:val="17"/>
        </w:rPr>
        <w:br/>
        <w:t>   Недобросовестная (незаконная) конкуренция осуществляется следующими методами:</w:t>
      </w:r>
      <w:r>
        <w:rPr>
          <w:rFonts w:ascii="Verdana" w:hAnsi="Verdana"/>
          <w:color w:val="000000"/>
          <w:sz w:val="17"/>
          <w:szCs w:val="17"/>
        </w:rPr>
        <w:br/>
        <w:t>   - незаконное использование чужих товарных знаков, патентов, промышленных образцов, фирменных наименований;</w:t>
      </w:r>
      <w:r>
        <w:rPr>
          <w:rFonts w:ascii="Verdana" w:hAnsi="Verdana"/>
          <w:color w:val="000000"/>
          <w:sz w:val="17"/>
          <w:szCs w:val="17"/>
        </w:rPr>
        <w:br/>
        <w:t>   - незаконное копирование технических достижений конкурента, марки товара, его формы, упаковки;</w:t>
      </w:r>
      <w:r>
        <w:rPr>
          <w:rFonts w:ascii="Verdana" w:hAnsi="Verdana"/>
          <w:color w:val="000000"/>
          <w:sz w:val="17"/>
          <w:szCs w:val="17"/>
        </w:rPr>
        <w:br/>
        <w:t>   - распространение ложных (неточных) сведений о происхождении товара, его качестве, потребительских свойствах;</w:t>
      </w:r>
      <w:r>
        <w:rPr>
          <w:rFonts w:ascii="Verdana" w:hAnsi="Verdana"/>
          <w:color w:val="000000"/>
          <w:sz w:val="17"/>
          <w:szCs w:val="17"/>
        </w:rPr>
        <w:br/>
        <w:t>   - проведение антирекламных мероприятий в отношении конкурентов, в ходе которых происходит дискредитация конкурентов;</w:t>
      </w:r>
      <w:r>
        <w:rPr>
          <w:rFonts w:ascii="Verdana" w:hAnsi="Verdana"/>
          <w:color w:val="000000"/>
          <w:sz w:val="17"/>
          <w:szCs w:val="17"/>
        </w:rPr>
        <w:br/>
        <w:t>   - прямой обман потенциальных потребителей и заказчиков;</w:t>
      </w:r>
      <w:r>
        <w:rPr>
          <w:rFonts w:ascii="Verdana" w:hAnsi="Verdana"/>
          <w:color w:val="000000"/>
          <w:sz w:val="17"/>
          <w:szCs w:val="17"/>
        </w:rPr>
        <w:br/>
        <w:t>   - выпуск в обращение поддельных товаров;</w:t>
      </w:r>
      <w:r>
        <w:rPr>
          <w:rFonts w:ascii="Verdana" w:hAnsi="Verdana"/>
          <w:color w:val="000000"/>
          <w:sz w:val="17"/>
          <w:szCs w:val="17"/>
        </w:rPr>
        <w:br/>
        <w:t>   - экономический шпионаж (добыча коммерческих тайн конкурентов, разглашение секретной информации).</w:t>
      </w:r>
      <w:r>
        <w:rPr>
          <w:rFonts w:ascii="Verdana" w:hAnsi="Verdana"/>
          <w:color w:val="000000"/>
          <w:sz w:val="17"/>
          <w:szCs w:val="17"/>
        </w:rPr>
        <w:br/>
        <w:t>   Под дискредитирующими понимаются любые соответствующие, либо не соответствующие действительности утверждения в отношении конкурента или его товаров, наносящие ущерб его деловой репутации. К их числу относятся также недоброжелательные утверждения о конкуренте. Ложные, неточные, искаженные утверждения о конкуренте или его товарах могут проявляться через рекламу, при распространении информации в печатных изданиях, по радио, телевидению, в сети Интернет.</w:t>
      </w:r>
      <w:r>
        <w:rPr>
          <w:rFonts w:ascii="Verdana" w:hAnsi="Verdana"/>
          <w:color w:val="000000"/>
          <w:sz w:val="17"/>
          <w:szCs w:val="17"/>
        </w:rPr>
        <w:br/>
        <w:t xml:space="preserve">   Введение потребителей в заблуждение относительно характера, способа, места изготовления, </w:t>
      </w:r>
      <w:r>
        <w:rPr>
          <w:rFonts w:ascii="Verdana" w:hAnsi="Verdana"/>
          <w:color w:val="000000"/>
          <w:sz w:val="17"/>
          <w:szCs w:val="17"/>
        </w:rPr>
        <w:lastRenderedPageBreak/>
        <w:t>потребительских свойств, качества товара, как и дискредитация конкурента, имеет своей целью завлечение потребителя путем распространения ненадлежащей информации. Здесь речь идет не о клевете на товары конкурента, а о ложных, обманных заявлениях о собственном товаре.</w:t>
      </w:r>
      <w:r>
        <w:rPr>
          <w:rFonts w:ascii="Verdana" w:hAnsi="Verdana"/>
          <w:color w:val="000000"/>
          <w:sz w:val="17"/>
          <w:szCs w:val="17"/>
        </w:rPr>
        <w:br/>
        <w:t>   В качестве примеров можно привести информацию о непревзойденной надежности телефонного аппарата, к которому якобы невозможно несанкционированное подключение, информацию о программном обеспечении, якобы совместимом со всеми без исключения моделями компьютеров, неправильная информация о возможностях трудоустройства выпускников высших учебных заведений, недостоверные данные о тиражах рекламных средств массовой информации. Недостоверная информация может касаться ингредиентов, используемых в пищевых продуктах, способе изготовления, полезности, экологической безопасности, места изготовления товара.</w:t>
      </w:r>
      <w:r>
        <w:rPr>
          <w:rFonts w:ascii="Verdana" w:hAnsi="Verdana"/>
          <w:color w:val="000000"/>
          <w:sz w:val="17"/>
          <w:szCs w:val="17"/>
        </w:rPr>
        <w:br/>
        <w:t>   Некорректное сравнение товаров может иметь место в утверждениях о превосходстве или уникальности товара (типа «самый лучший», «самый дешевый», «самый единственный»). Подобные утверждения являются вводящими в заблуждение и клиентов, и контрагентов предпринимательской фирмы, если их объективность не может быть доказана, а в процессе сравнения данного товара с товарами конкурентов возникают не соответствующие действительности сведения о товарах и их производителях (продавцах).</w:t>
      </w:r>
      <w:r>
        <w:rPr>
          <w:rFonts w:ascii="Verdana" w:hAnsi="Verdana"/>
          <w:color w:val="000000"/>
          <w:sz w:val="17"/>
          <w:szCs w:val="17"/>
        </w:rPr>
        <w:br/>
        <w:t>   Монополистическая практика субъектов бизнеса является другим объектом нормативно-правового антимонопольного регулирования деловых отношений. Под монополистической практикой следует понимать действия любых субъектов, посредством которых либо реализуется их доминирующее положение на рынке, либо их стремление добиться такого положения вплоть до моноплизации всего рынка.</w:t>
      </w:r>
      <w:r>
        <w:rPr>
          <w:rFonts w:ascii="Verdana" w:hAnsi="Verdana"/>
          <w:color w:val="000000"/>
          <w:sz w:val="17"/>
          <w:szCs w:val="17"/>
        </w:rPr>
        <w:br/>
        <w:t>   В жизни встречаются три типа монополистической практики. Государственная монополистическая практика осуществляется центральными правительственными органами и включает</w:t>
      </w:r>
      <w:r>
        <w:rPr>
          <w:rFonts w:ascii="Verdana" w:hAnsi="Verdana"/>
          <w:color w:val="000000"/>
          <w:sz w:val="17"/>
          <w:szCs w:val="17"/>
        </w:rPr>
        <w:br/>
        <w:t>   - государственную национализацию рентабельных предпринимательских фирм;</w:t>
      </w:r>
      <w:r>
        <w:rPr>
          <w:rFonts w:ascii="Verdana" w:hAnsi="Verdana"/>
          <w:color w:val="000000"/>
          <w:sz w:val="17"/>
          <w:szCs w:val="17"/>
        </w:rPr>
        <w:br/>
        <w:t>   - принудительное навязывание субъектам предпринимательского бизнеса директивных государственных заданий и партнеров по деловым связям;</w:t>
      </w:r>
      <w:r>
        <w:rPr>
          <w:rFonts w:ascii="Verdana" w:hAnsi="Verdana"/>
          <w:color w:val="000000"/>
          <w:sz w:val="17"/>
          <w:szCs w:val="17"/>
        </w:rPr>
        <w:br/>
        <w:t>   - директивное планирование производственно-сбытовых функций субъектам бизнеса и директивное ценообразование на их товары и услуги.</w:t>
      </w:r>
      <w:r>
        <w:rPr>
          <w:rFonts w:ascii="Verdana" w:hAnsi="Verdana"/>
          <w:color w:val="000000"/>
          <w:sz w:val="17"/>
          <w:szCs w:val="17"/>
        </w:rPr>
        <w:br/>
        <w:t>   Ведомственная монополистическая практика имеет аналогичные формы проявления, но только в масштабах отдельных отраслей и видов бизнеса, которые регулируются соответствующими министерствами или ведомствами, а не экономики страны.</w:t>
      </w:r>
      <w:r>
        <w:rPr>
          <w:rFonts w:ascii="Verdana" w:hAnsi="Verdana"/>
          <w:color w:val="000000"/>
          <w:sz w:val="17"/>
          <w:szCs w:val="17"/>
        </w:rPr>
        <w:br/>
        <w:t>   Наконец, монополистическая практика субъектов предпринимательского бизнеса включает</w:t>
      </w:r>
      <w:r>
        <w:rPr>
          <w:rFonts w:ascii="Verdana" w:hAnsi="Verdana"/>
          <w:color w:val="000000"/>
          <w:sz w:val="17"/>
          <w:szCs w:val="17"/>
        </w:rPr>
        <w:br/>
        <w:t>   - навязывание контрагентам дискриминационных условий договоров, в том числе возложение на них обязательств по исключительной купле-продаже с данной предпринимательской фирмой, а также навязывание условий договоров, не относящихся к предмету этого договора;</w:t>
      </w:r>
      <w:r>
        <w:rPr>
          <w:rFonts w:ascii="Verdana" w:hAnsi="Verdana"/>
          <w:color w:val="000000"/>
          <w:sz w:val="17"/>
          <w:szCs w:val="17"/>
        </w:rPr>
        <w:br/>
        <w:t>   - изъятие товаров, пользующихся устойчивым спросом, из обращения, либо полное прекращение выпуска этих товаров в целях создания искусственного дефицита;</w:t>
      </w:r>
      <w:r>
        <w:rPr>
          <w:rFonts w:ascii="Verdana" w:hAnsi="Verdana"/>
          <w:color w:val="000000"/>
          <w:sz w:val="17"/>
          <w:szCs w:val="17"/>
        </w:rPr>
        <w:br/>
        <w:t>   - предоставление крупными компаниями скидок своим клиентам, приобретающим оптовые партии товаров, как фактор давления на мелкие компании, специализирующиеся на розничной торговле;</w:t>
      </w:r>
      <w:r>
        <w:rPr>
          <w:rFonts w:ascii="Verdana" w:hAnsi="Verdana"/>
          <w:color w:val="000000"/>
          <w:sz w:val="17"/>
          <w:szCs w:val="17"/>
        </w:rPr>
        <w:br/>
        <w:t>   - сговор между предпринимательскими фирмами в формах конвенций, пулов, рингов, картелей и в иных формах с целью недопущения на рынок потенциальных;</w:t>
      </w:r>
      <w:r>
        <w:rPr>
          <w:rFonts w:ascii="Verdana" w:hAnsi="Verdana"/>
          <w:color w:val="000000"/>
          <w:sz w:val="17"/>
          <w:szCs w:val="17"/>
        </w:rPr>
        <w:br/>
        <w:t>   - предварительный сговор субъектов предпринимательского бизнеса об отказе вести дела с потенциальными партнерами, вплоть до полного бойкота последних;</w:t>
      </w:r>
      <w:r>
        <w:rPr>
          <w:rFonts w:ascii="Verdana" w:hAnsi="Verdana"/>
          <w:color w:val="000000"/>
          <w:sz w:val="17"/>
          <w:szCs w:val="17"/>
        </w:rPr>
        <w:br/>
        <w:t>   - навязывание клиентам и контрагентам принудительного ассортимента в качестве обязательных условий реализации своих товаров и услуг (так называемый принцип «связывающих условий»);</w:t>
      </w:r>
      <w:r>
        <w:rPr>
          <w:rFonts w:ascii="Verdana" w:hAnsi="Verdana"/>
          <w:color w:val="000000"/>
          <w:sz w:val="17"/>
          <w:szCs w:val="17"/>
        </w:rPr>
        <w:br/>
        <w:t>   - демпинг, другими словами, искусственное понижение цен - даже ниже совокупных издержек - с целью подрыва конкурентоспособности других компаний, как правило, мелких и средних, присутствующих в избранном секторе рынка.</w:t>
      </w:r>
      <w:r>
        <w:rPr>
          <w:rFonts w:ascii="Verdana" w:hAnsi="Verdana"/>
          <w:color w:val="000000"/>
          <w:sz w:val="17"/>
          <w:szCs w:val="17"/>
        </w:rPr>
        <w:br/>
        <w:t>   Все вышеназванные виды монополистической практики находятся под запретом в большинстве стран с рыночно ориентированной экономикой. Поэтому их применение на практике, вне зависимости от того, кто именно оказывается исполнителем неправильных действий - субъект предпринимательского бизнеса, ведомство или орган государственного управления, - чревато нарушением закона со всеми вытекающими последствиями. Таким образом нормативно правовое антимонопольное противодействие монополистической практике является важным превентивным (предупреждающим правонарушение) инструментом, препятствующим монополизации рынка.</w:t>
      </w:r>
      <w:r>
        <w:rPr>
          <w:rFonts w:ascii="Verdana" w:hAnsi="Verdana"/>
          <w:color w:val="000000"/>
          <w:sz w:val="17"/>
          <w:szCs w:val="17"/>
        </w:rPr>
        <w:br/>
        <w:t>   Приведем только один пример, связанный с применением законодательства о конкуренции Европейского Сообщества (ЕС). В отношении незаконных действий антиконкурентного и монополистического характера данное законодательство устанавливает следующее:</w:t>
      </w:r>
      <w:r>
        <w:rPr>
          <w:rFonts w:ascii="Verdana" w:hAnsi="Verdana"/>
          <w:color w:val="000000"/>
          <w:sz w:val="17"/>
          <w:szCs w:val="17"/>
        </w:rPr>
        <w:br/>
        <w:t>   «Запрещаются любые соглашения между фирмами, решения об объединении, координационная деятельность, которые могут нанести ущерб торговле на Общем рынке и/или воспрепятствовать (нарушить, ограничить) свободе конкуренции:</w:t>
      </w:r>
      <w:r>
        <w:rPr>
          <w:rFonts w:ascii="Verdana" w:hAnsi="Verdana"/>
          <w:color w:val="000000"/>
          <w:sz w:val="17"/>
          <w:szCs w:val="17"/>
        </w:rPr>
        <w:br/>
        <w:t>   а) ограничение или контроль над производством, сбытом, техническим развитием или капиталовложениями;</w:t>
      </w:r>
      <w:r>
        <w:rPr>
          <w:rFonts w:ascii="Verdana" w:hAnsi="Verdana"/>
          <w:color w:val="000000"/>
          <w:sz w:val="17"/>
          <w:szCs w:val="17"/>
        </w:rPr>
        <w:br/>
        <w:t>   б) распределение рынков или источников снабжения;</w:t>
      </w:r>
      <w:r>
        <w:rPr>
          <w:rFonts w:ascii="Verdana" w:hAnsi="Verdana"/>
          <w:color w:val="000000"/>
          <w:sz w:val="17"/>
          <w:szCs w:val="17"/>
        </w:rPr>
        <w:br/>
        <w:t>   в) применение к торговым предприятиям неравного подхода при равных условиях, ставящее их в неблагоприятное положение при конкуренции;</w:t>
      </w:r>
      <w:r>
        <w:rPr>
          <w:rFonts w:ascii="Verdana" w:hAnsi="Verdana"/>
          <w:color w:val="000000"/>
          <w:sz w:val="17"/>
          <w:szCs w:val="17"/>
        </w:rPr>
        <w:br/>
        <w:t>   г) в навязывании (прямо или косвенно) покупных/продажных цен и других несправедливых условий сделки».</w:t>
      </w:r>
      <w:r>
        <w:rPr>
          <w:rFonts w:ascii="Verdana" w:hAnsi="Verdana"/>
          <w:color w:val="000000"/>
          <w:sz w:val="17"/>
          <w:szCs w:val="17"/>
        </w:rPr>
        <w:br/>
        <w:t xml:space="preserve">   Тем не менее, монополизация рынка отдельными субъектами предпринимательского бизнеса, либо приобретение ими доминирующего положения выступают особыми направлениями антимонопольного </w:t>
      </w:r>
      <w:r>
        <w:rPr>
          <w:rFonts w:ascii="Verdana" w:hAnsi="Verdana"/>
          <w:color w:val="000000"/>
          <w:sz w:val="17"/>
          <w:szCs w:val="17"/>
        </w:rPr>
        <w:lastRenderedPageBreak/>
        <w:t>регулирования деловых отношений.</w:t>
      </w:r>
      <w:r>
        <w:rPr>
          <w:rFonts w:ascii="Verdana" w:hAnsi="Verdana"/>
          <w:color w:val="000000"/>
          <w:sz w:val="17"/>
          <w:szCs w:val="17"/>
        </w:rPr>
        <w:br/>
        <w:t>   С термином «монополизация» мы уже не раз сталкивались на страницах учебника «Основы бизнеса». В данной главе нас более всего интересует его нормативно-правовое истолкование, обычно применяемое в законодательстве большинства стран с рыночно ориентированной экономикой для определения недопустимых размеров долей продаж, которые может приобрести предпринимательская фирма на рынках одноименных товаров и услуг.</w:t>
      </w:r>
      <w:r>
        <w:rPr>
          <w:rFonts w:ascii="Verdana" w:hAnsi="Verdana"/>
          <w:color w:val="000000"/>
          <w:sz w:val="17"/>
          <w:szCs w:val="17"/>
        </w:rPr>
        <w:br/>
        <w:t>   В США, к примеру, размеры доли рынка, которые свидетельствуют о приобретении предпринимательской фирмой доминирующего положения, равны 60%. В странах Западной Европы этот показатель колеблется от 40 до 70 %.</w:t>
      </w:r>
      <w:r>
        <w:rPr>
          <w:rFonts w:ascii="Verdana" w:hAnsi="Verdana"/>
          <w:color w:val="000000"/>
          <w:sz w:val="17"/>
          <w:szCs w:val="17"/>
        </w:rPr>
        <w:br/>
        <w:t>   В соответствии с Федеральным законом РФ «О конкуренции и ограничении монополистической деятельности на товарных рынках», в России положение фирмы может быть признано доминирующим, если ее доля на товарном рынке составляет 65%. Положение фирмы на рынке не признается доминирующим, если ее доля не превышает 35%. Определение размеров рыночной доли предпринимательской фирмы, которое могло быть признано доминирующим положением данной фирмы на рынке финансовых услуг (в соответствии с ФЗ «О защите конкуренции на рынке финансовых услуг») пока не предпринималось.</w:t>
      </w:r>
      <w:r>
        <w:rPr>
          <w:rFonts w:ascii="Verdana" w:hAnsi="Verdana"/>
          <w:color w:val="000000"/>
          <w:sz w:val="17"/>
          <w:szCs w:val="17"/>
        </w:rPr>
        <w:br/>
        <w:t>   Нормативно-правовое противодействие монополизации рынка включает контроль за слиянием компаний, осуществлением субъектами бизнеса совместной деятельности, использованием ими лицензионных соглашений. Все перечисленные способы действий таят в себе угрозу скрытой монополизации рынка. Но если все-таки монополизация рынка, либо доминирующее положение одного из субъектов бизнеса зафиксировано, в отношении нарушителей закона могут быть применены меры демонополизации. За нарушение антимонопольного законодательства в ряде стран предусматривается уголовная (лишение свободы) и административная (наложение штрафа) ответственность. Ответственность за нарушение закона несут и субъекты бизнеса, и их руководители.</w:t>
      </w:r>
      <w:r>
        <w:rPr>
          <w:rFonts w:ascii="Verdana" w:hAnsi="Verdana"/>
          <w:color w:val="000000"/>
          <w:sz w:val="17"/>
          <w:szCs w:val="17"/>
        </w:rPr>
        <w:br/>
        <w:t>   В настоящее время применяются два типа антимонопольного законодательства - американское и западноевропейское. Критерием разграничения выступает отношение законов к самому факту существования монополистических отношений. Американский тип законодательства, начиная с самого первого в мире антимонопольного закона - «Закона Шермана», принятого в 1890 году, - отвергает любую форму монополистического сговора или союза. Западноевропейский тип законодательства является более либеральным - в нем объектом противодействия выступают не всякие явления монополизации рынка или монополистической практики, а лишь те из них, которые существенно ограничивают возможности конкуренции в том или ином секторе рынка.</w:t>
      </w:r>
      <w:r>
        <w:rPr>
          <w:rFonts w:ascii="Verdana" w:hAnsi="Verdana"/>
          <w:color w:val="000000"/>
          <w:sz w:val="17"/>
          <w:szCs w:val="17"/>
        </w:rPr>
        <w:br/>
        <w:t>   Следует выделить также два различных направления использования антимонопольного законодательства - антитрестовское и антикартельное. Антитрестовские законы (именно к их числу относится «Закон Шермана») направлены на противодействие союзам, объединениям, концернам, в раках которых происходит полная утрата входящими в такой союз предпринимательскими фирмами всякой самостоятельности - такие союзы устраняют конкуренцию и потому они не могут быть приемлемы для экономической среды бизнеса. Антикартельные законы направлены на противодействие различного рода сговорам между предпринимательскими фирмами картельного типа (предметами сговора, напомним, могут выступать разделы рынков сбыта по потребителям или по районам, установление одинаковых цен и другие элементы бизнеса).</w:t>
      </w:r>
      <w:r>
        <w:rPr>
          <w:rFonts w:ascii="Verdana" w:hAnsi="Verdana"/>
          <w:color w:val="000000"/>
          <w:sz w:val="17"/>
          <w:szCs w:val="17"/>
        </w:rPr>
        <w:br/>
        <w:t>   Демонополизация рынка может включать следующие направления. - принудительное, либо инициативное разукрупнение (в том числе разделение) субъектов бизнеса;</w:t>
      </w:r>
      <w:r>
        <w:rPr>
          <w:rFonts w:ascii="Verdana" w:hAnsi="Verdana"/>
          <w:color w:val="000000"/>
          <w:sz w:val="17"/>
          <w:szCs w:val="17"/>
        </w:rPr>
        <w:br/>
        <w:t>   - создание параллельных предпринимательских фирм;</w:t>
      </w:r>
      <w:r>
        <w:rPr>
          <w:rFonts w:ascii="Verdana" w:hAnsi="Verdana"/>
          <w:color w:val="000000"/>
          <w:sz w:val="17"/>
          <w:szCs w:val="17"/>
        </w:rPr>
        <w:br/>
        <w:t>   - принудительная внутрифирменная диверсификация деятельности компании;</w:t>
      </w:r>
      <w:r>
        <w:rPr>
          <w:rFonts w:ascii="Verdana" w:hAnsi="Verdana"/>
          <w:color w:val="000000"/>
          <w:sz w:val="17"/>
          <w:szCs w:val="17"/>
        </w:rPr>
        <w:br/>
        <w:t>   - стимулирование конкуренции различных направлений деятельности внутри крупной компании;</w:t>
      </w:r>
      <w:r>
        <w:rPr>
          <w:rFonts w:ascii="Verdana" w:hAnsi="Verdana"/>
          <w:color w:val="000000"/>
          <w:sz w:val="17"/>
          <w:szCs w:val="17"/>
        </w:rPr>
        <w:br/>
        <w:t>   - привлечение в национальную экономику иностранных инвестиций для использования в «опасных» отраслях экономики и на «опасных» рынках.</w:t>
      </w:r>
      <w:r>
        <w:rPr>
          <w:rFonts w:ascii="Verdana" w:hAnsi="Verdana"/>
          <w:color w:val="000000"/>
          <w:sz w:val="17"/>
          <w:szCs w:val="17"/>
        </w:rPr>
        <w:br/>
        <w:t>   В России антимонопольное законодательство предусматривает различные меры противодействия монополизации экономики со стороны государства, а именно:</w:t>
      </w:r>
      <w:r>
        <w:rPr>
          <w:rFonts w:ascii="Verdana" w:hAnsi="Verdana"/>
          <w:color w:val="000000"/>
          <w:sz w:val="17"/>
          <w:szCs w:val="17"/>
        </w:rPr>
        <w:br/>
        <w:t>   1) введение запрета на осуществление деятельности монополиста;</w:t>
      </w:r>
      <w:r>
        <w:rPr>
          <w:rFonts w:ascii="Verdana" w:hAnsi="Verdana"/>
          <w:color w:val="000000"/>
          <w:sz w:val="17"/>
          <w:szCs w:val="17"/>
        </w:rPr>
        <w:br/>
        <w:t>   2) ликвидация монополиста;</w:t>
      </w:r>
      <w:r>
        <w:rPr>
          <w:rFonts w:ascii="Verdana" w:hAnsi="Verdana"/>
          <w:color w:val="000000"/>
          <w:sz w:val="17"/>
          <w:szCs w:val="17"/>
        </w:rPr>
        <w:br/>
        <w:t>   3) реорганизация монополиста, в том числе уже известные нам способы разделения компании, выделения из компании структурных подразделений;</w:t>
      </w:r>
      <w:r>
        <w:rPr>
          <w:rFonts w:ascii="Verdana" w:hAnsi="Verdana"/>
          <w:color w:val="000000"/>
          <w:sz w:val="17"/>
          <w:szCs w:val="17"/>
        </w:rPr>
        <w:br/>
        <w:t>   4) приобретение государством определенного пакета акций монополиста.</w:t>
      </w:r>
      <w:r>
        <w:rPr>
          <w:rFonts w:ascii="Verdana" w:hAnsi="Verdana"/>
          <w:color w:val="000000"/>
          <w:sz w:val="17"/>
          <w:szCs w:val="17"/>
        </w:rPr>
        <w:br/>
        <w:t>   Законные методы противодействия недобросовестной конкуренции, монополистической практике или монополизации рынка - это протесты органов государственного надзора (органов прокуратуры), а также иски в суды о недобросовестной конкуренции, подаваемые, как правило, «в одном пакете» с другими исками: «О защите прав на тот или иной объект промышленной и научной собственности», «О применении общих гражданских санкций за нанесение вреда, ущерба».</w:t>
      </w:r>
      <w:r>
        <w:rPr>
          <w:rFonts w:ascii="Verdana" w:hAnsi="Verdana"/>
          <w:color w:val="000000"/>
          <w:sz w:val="17"/>
          <w:szCs w:val="17"/>
        </w:rPr>
        <w:br/>
        <w:t>   При удовлетворении иска суд выносит решение об определенных санкциях в отношении недобросовестного конкурента.</w:t>
      </w:r>
      <w:r>
        <w:rPr>
          <w:rFonts w:ascii="Verdana" w:hAnsi="Verdana"/>
          <w:color w:val="000000"/>
          <w:sz w:val="17"/>
          <w:szCs w:val="17"/>
        </w:rPr>
        <w:br/>
        <w:t>   Санкциями за применение методов недобросовестной конкуренции обычно во всем мире являются</w:t>
      </w:r>
      <w:r>
        <w:rPr>
          <w:rFonts w:ascii="Verdana" w:hAnsi="Verdana"/>
          <w:color w:val="000000"/>
          <w:sz w:val="17"/>
          <w:szCs w:val="17"/>
        </w:rPr>
        <w:br/>
        <w:t>   • запрещение противоправных действий;</w:t>
      </w:r>
      <w:r>
        <w:rPr>
          <w:rFonts w:ascii="Verdana" w:hAnsi="Verdana"/>
          <w:color w:val="000000"/>
          <w:sz w:val="17"/>
          <w:szCs w:val="17"/>
        </w:rPr>
        <w:br/>
        <w:t>   • возмещение убытков;</w:t>
      </w:r>
      <w:r>
        <w:rPr>
          <w:rFonts w:ascii="Verdana" w:hAnsi="Verdana"/>
          <w:color w:val="000000"/>
          <w:sz w:val="17"/>
          <w:szCs w:val="17"/>
        </w:rPr>
        <w:br/>
        <w:t>   • признание недействительности заключенных договоров;</w:t>
      </w:r>
      <w:r>
        <w:rPr>
          <w:rFonts w:ascii="Verdana" w:hAnsi="Verdana"/>
          <w:color w:val="000000"/>
          <w:sz w:val="17"/>
          <w:szCs w:val="17"/>
        </w:rPr>
        <w:br/>
        <w:t>   • наложение административных штрафов на физических и юридических лиц;</w:t>
      </w:r>
      <w:r>
        <w:rPr>
          <w:rFonts w:ascii="Verdana" w:hAnsi="Verdana"/>
          <w:color w:val="000000"/>
          <w:sz w:val="17"/>
          <w:szCs w:val="17"/>
        </w:rPr>
        <w:br/>
        <w:t>   • меры уголовного наказания физических лиц.</w:t>
      </w:r>
      <w:r>
        <w:rPr>
          <w:rFonts w:ascii="Verdana" w:hAnsi="Verdana"/>
          <w:color w:val="000000"/>
          <w:sz w:val="17"/>
          <w:szCs w:val="17"/>
        </w:rPr>
        <w:br/>
        <w:t xml:space="preserve">   Справедливости ради надо подчеркнуть, что в Российской Федерации за весь период, следующий за принятием «Закона о конкуренции», не было зафиксировано ни единого случае привлечения к </w:t>
      </w:r>
      <w:r>
        <w:rPr>
          <w:rFonts w:ascii="Verdana" w:hAnsi="Verdana"/>
          <w:color w:val="000000"/>
          <w:sz w:val="17"/>
          <w:szCs w:val="17"/>
        </w:rPr>
        <w:lastRenderedPageBreak/>
        <w:t>ответственности ни одного субъекта бизнеса за применение методов недобросовестной конкуренции, монополистической практики, равно, как и за приобретение доминирующего положения на рынке.</w:t>
      </w:r>
      <w:r>
        <w:rPr>
          <w:rFonts w:ascii="Verdana" w:hAnsi="Verdana"/>
          <w:color w:val="000000"/>
          <w:sz w:val="17"/>
          <w:szCs w:val="17"/>
        </w:rPr>
        <w:br/>
        <w:t>   Противодействие недобросовестной конкуренции, монополизации экономики и монополистической практике, в совокупности составляющее нормативно-правовое антимонопольное регулирование деловых отношений, в сочетании с экономическими инструментами антимонопольного регулирования представляют собой исключительно важное явление, имеющее место в экономической среде современного бизнеса. Поддержание конкуренции между субъектами бизнеса становится в этих условиях не только задачей, решение которой направлено на сохранение рынка, но фактически - и объектом общественного согласия в бизнес-сообществе. Наличие эффективной конкуренции оказывается выгодным всем без исключения субъектам бизнеса, но за это каждому из них приходится идти на компромисс и отказываться от собственных интересов, связанных со стремлением сделаться монополистом. Подробнее смысл данного компромисса мы рассмотрим в заключительной главе настоящего раздела учебника “Основы бизнеса”.</w:t>
      </w:r>
    </w:p>
    <w:p w:rsidR="0027050F" w:rsidRPr="00876A94" w:rsidRDefault="0027050F" w:rsidP="00876A94"/>
    <w:sectPr w:rsidR="0027050F" w:rsidRPr="00876A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9AD"/>
    <w:rsid w:val="0027050F"/>
    <w:rsid w:val="00354BAF"/>
    <w:rsid w:val="003E69AD"/>
    <w:rsid w:val="00876A94"/>
    <w:rsid w:val="00E63D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65CD84-9258-4017-8190-DD2AB939E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63D9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63D9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966789">
      <w:bodyDiv w:val="1"/>
      <w:marLeft w:val="0"/>
      <w:marRight w:val="0"/>
      <w:marTop w:val="0"/>
      <w:marBottom w:val="0"/>
      <w:divBdr>
        <w:top w:val="none" w:sz="0" w:space="0" w:color="auto"/>
        <w:left w:val="none" w:sz="0" w:space="0" w:color="auto"/>
        <w:bottom w:val="none" w:sz="0" w:space="0" w:color="auto"/>
        <w:right w:val="none" w:sz="0" w:space="0" w:color="auto"/>
      </w:divBdr>
    </w:div>
    <w:div w:id="1208451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3473</Words>
  <Characters>19800</Characters>
  <Application>Microsoft Office Word</Application>
  <DocSecurity>0</DocSecurity>
  <Lines>165</Lines>
  <Paragraphs>46</Paragraphs>
  <ScaleCrop>false</ScaleCrop>
  <Company>SPecialiST RePack</Company>
  <LinksUpToDate>false</LinksUpToDate>
  <CharactersWithSpaces>23227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2020-05-13T19:35:00Z</dcterms:created>
  <dcterms:modified xsi:type="dcterms:W3CDTF">2020-05-13T19:50:00Z</dcterms:modified>
</cp:coreProperties>
</file>